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color w:val="1B3C65"/>
          <w:sz w:val="28"/>
          <w:szCs w:val="28"/>
        </w:rPr>
        <w:t xml:space="preserve">SERVICE AGREEMENT</w:t>
      </w:r>
      <w:r>
        <w:rPr>
          <w:rFonts w:ascii="Arial" w:cs="Arial" w:eastAsia="Arial" w:hAnsi="Arial"/>
          <w:color w:val="5F6F82"/>
          <w:sz w:val="18"/>
          <w:szCs w:val="18"/>
        </w:rPr>
        <w:t xml:space="preserve">   Standard terms for data destruction services, unclassified and commercial</w:t>
      </w:r>
    </w:p>
    <w:p>
      <w:pPr>
        <w:pBdr>
          <w:bottom w:val="single" w:color="F5B301" w:sz="8" w:space="4"/>
        </w:pBdr>
        <w:spacing w:after="120"/>
      </w:pPr>
      <w:r>
        <w:rPr>
          <w:rFonts w:ascii="Arial" w:cs="Arial" w:eastAsia="Arial" w:hAnsi="Arial"/>
          <w:color w:val="5F6F82"/>
          <w:sz w:val="15"/>
          <w:szCs w:val="15"/>
        </w:rPr>
        <w:t xml:space="preserve">Mansfield Technologies LLC, Mansfield, Ohio. Version 1.0, September 2026.</w:t>
      </w:r>
    </w:p>
    <w:p>
      <w:pPr>
        <w:spacing w:after="90" w:line="258"/>
      </w:pPr>
      <w:r>
        <w:rPr>
          <w:rFonts w:ascii="Arial" w:cs="Arial" w:eastAsia="Arial" w:hAnsi="Arial"/>
          <w:color w:val="0E2140"/>
          <w:sz w:val="18"/>
          <w:szCs w:val="18"/>
        </w:rPr>
        <w:t xml:space="preserve">This Service Agreement (the “Agreement”) is between Mansfield Technologies LLC, an Ohio limited liability company (“Mansfield,” “we”), and the organization named below (“Client,” “you”). It governs every quote, purchase order, on-site visit, mail-in order, and consultation for unclassified media between us unless a signed contract says otherwise. Classified media is not covered by this Agreement and is arranged separately with Client’s security office. A Client purchase order is accepted only for the items, quantities, and price it names; other terms printed on it do not apply.</w:t>
      </w:r>
    </w:p>
    <w:p>
      <w:pPr>
        <w:spacing w:after="60" w:before="180"/>
      </w:pPr>
      <w:r>
        <w:rPr>
          <w:rFonts w:ascii="Arial" w:cs="Arial" w:eastAsia="Arial" w:hAnsi="Arial"/>
          <w:b/>
          <w:bCs/>
          <w:color w:val="1B3C65"/>
          <w:sz w:val="21"/>
          <w:szCs w:val="21"/>
        </w:rPr>
        <w:t xml:space="preserve">1. What we provide</w:t>
      </w:r>
    </w:p>
    <w:p>
      <w:pPr>
        <w:pStyle w:val="ListParagraph"/>
        <w:numPr>
          <w:ilvl w:val="0"/>
          <w:numId w:val="2"/>
        </w:numPr>
        <w:spacing w:after="40" w:line="250"/>
      </w:pPr>
      <w:r>
        <w:rPr>
          <w:rFonts w:ascii="Arial" w:cs="Arial" w:eastAsia="Arial" w:hAnsi="Arial"/>
          <w:b/>
          <w:bCs/>
          <w:color w:val="0E2140"/>
          <w:sz w:val="18"/>
          <w:szCs w:val="18"/>
        </w:rPr>
        <w:t xml:space="preserve">On-site destruction. </w:t>
      </w:r>
      <w:r>
        <w:rPr>
          <w:rFonts w:ascii="Arial" w:cs="Arial" w:eastAsia="Arial" w:hAnsi="Arial"/>
          <w:color w:val="0E2140"/>
          <w:sz w:val="18"/>
          <w:szCs w:val="18"/>
        </w:rPr>
        <w:t xml:space="preserve">Physical destruction of data-bearing media at Client’s location on our mobile equipment, witnessed by Client’s representative, with a Certificate of Destruction and media log for every job.</w:t>
      </w:r>
    </w:p>
    <w:p>
      <w:pPr>
        <w:pStyle w:val="ListParagraph"/>
        <w:numPr>
          <w:ilvl w:val="0"/>
          <w:numId w:val="2"/>
        </w:numPr>
        <w:spacing w:after="40" w:line="250"/>
      </w:pPr>
      <w:r>
        <w:rPr>
          <w:rFonts w:ascii="Arial" w:cs="Arial" w:eastAsia="Arial" w:hAnsi="Arial"/>
          <w:b/>
          <w:bCs/>
          <w:color w:val="0E2140"/>
          <w:sz w:val="18"/>
          <w:szCs w:val="18"/>
        </w:rPr>
        <w:t xml:space="preserve">Mail-in destruction (Shred by Mail). </w:t>
      </w:r>
      <w:r>
        <w:rPr>
          <w:rFonts w:ascii="Arial" w:cs="Arial" w:eastAsia="Arial" w:hAnsi="Arial"/>
          <w:color w:val="0E2140"/>
          <w:sz w:val="18"/>
          <w:szCs w:val="18"/>
        </w:rPr>
        <w:t xml:space="preserve">Destruction of media shipped to our receiving location, photographed on arrival, logged by serial, destroyed within five business days of receipt, with the same certificate and log.</w:t>
      </w:r>
    </w:p>
    <w:p>
      <w:pPr>
        <w:pStyle w:val="ListParagraph"/>
        <w:numPr>
          <w:ilvl w:val="0"/>
          <w:numId w:val="2"/>
        </w:numPr>
        <w:spacing w:after="40" w:line="250"/>
      </w:pPr>
      <w:r>
        <w:rPr>
          <w:rFonts w:ascii="Arial" w:cs="Arial" w:eastAsia="Arial" w:hAnsi="Arial"/>
          <w:b/>
          <w:bCs/>
          <w:color w:val="0E2140"/>
          <w:sz w:val="18"/>
          <w:szCs w:val="18"/>
        </w:rPr>
        <w:t xml:space="preserve">IT asset disposition. </w:t>
      </w:r>
      <w:r>
        <w:rPr>
          <w:rFonts w:ascii="Arial" w:cs="Arial" w:eastAsia="Arial" w:hAnsi="Arial"/>
          <w:color w:val="0E2140"/>
          <w:sz w:val="18"/>
          <w:szCs w:val="18"/>
        </w:rPr>
        <w:t xml:space="preserve">Removal of retired hardware after its storage has been destroyed, recycling through R2-certified downstream partners, and weight tickets on request. We do not resell whole computers, phones, or tablets; parts with no storage may be resold after the storage is destroyed.</w:t>
      </w:r>
    </w:p>
    <w:p>
      <w:pPr>
        <w:pStyle w:val="ListParagraph"/>
        <w:numPr>
          <w:ilvl w:val="0"/>
          <w:numId w:val="2"/>
        </w:numPr>
        <w:spacing w:after="40" w:line="250"/>
      </w:pPr>
      <w:r>
        <w:rPr>
          <w:rFonts w:ascii="Arial" w:cs="Arial" w:eastAsia="Arial" w:hAnsi="Arial"/>
          <w:b/>
          <w:bCs/>
          <w:color w:val="0E2140"/>
          <w:sz w:val="18"/>
          <w:szCs w:val="18"/>
        </w:rPr>
        <w:t xml:space="preserve">Technical consultation. </w:t>
      </w:r>
      <w:r>
        <w:rPr>
          <w:rFonts w:ascii="Arial" w:cs="Arial" w:eastAsia="Arial" w:hAnsi="Arial"/>
          <w:color w:val="0E2140"/>
          <w:sz w:val="18"/>
          <w:szCs w:val="18"/>
        </w:rPr>
        <w:t xml:space="preserve">Policy, procedure, and program work as described in a written scope.</w:t>
      </w:r>
    </w:p>
    <w:p>
      <w:pPr>
        <w:spacing w:after="60" w:before="180"/>
      </w:pPr>
      <w:r>
        <w:rPr>
          <w:rFonts w:ascii="Arial" w:cs="Arial" w:eastAsia="Arial" w:hAnsi="Arial"/>
          <w:b/>
          <w:bCs/>
          <w:color w:val="1B3C65"/>
          <w:sz w:val="21"/>
          <w:szCs w:val="21"/>
        </w:rPr>
        <w:t xml:space="preserve">2. The standard we destroy to</w:t>
      </w:r>
    </w:p>
    <w:p>
      <w:pPr>
        <w:spacing w:after="90" w:line="258"/>
      </w:pPr>
      <w:r>
        <w:rPr>
          <w:rFonts w:ascii="Arial" w:cs="Arial" w:eastAsia="Arial" w:hAnsi="Arial"/>
          <w:color w:val="0E2140"/>
          <w:sz w:val="18"/>
          <w:szCs w:val="18"/>
        </w:rPr>
        <w:t xml:space="preserve">Unless Client’s written standard requires otherwise, media is destroyed to NIST SP 800-88 Rev. 2 at the Destroy level, applying the High confidentiality impact categorization of FIPS 199 to every item. Where Client’s media includes CUI, this exceeds the Moderate floor set by 32 CFR 2002.14(g) and is expressly permitted by 32 CFR 2002.14(a)(2) and (f)(2). In practice:</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2300"/>
        <w:gridCol w:w="4000"/>
        <w:gridCol w:w="4140"/>
      </w:tblGrid>
      <w:tr>
        <w:trPr>
          <w:tblHeader/>
        </w:trPr>
        <w:tc>
          <w:tcPr>
            <w:tcW w:type="dxa" w:w="2300"/>
            <w:tcBorders>
              <w:top w:val="single" w:color="D9DFE6" w:sz="4"/>
              <w:left w:val="single" w:color="D9DFE6" w:sz="4"/>
              <w:bottom w:val="single" w:color="D9DFE6" w:sz="4"/>
              <w:right w:val="single" w:color="D9DFE6" w:sz="4"/>
            </w:tcBorders>
            <w:shd w:fill="1B3C65" w:color="auto" w:val="clear"/>
            <w:tcMar>
              <w:top w:type="dxa" w:w="50"/>
              <w:left w:type="dxa" w:w="90"/>
              <w:bottom w:type="dxa" w:w="50"/>
              <w:right w:type="dxa" w:w="90"/>
            </w:tcMar>
          </w:tcPr>
          <w:p>
            <w:pPr>
              <w:spacing w:after="0" w:line="245"/>
            </w:pPr>
            <w:r>
              <w:rPr>
                <w:rFonts w:ascii="Arial" w:cs="Arial" w:eastAsia="Arial" w:hAnsi="Arial"/>
                <w:b/>
                <w:bCs/>
                <w:color w:val="FFFFFF"/>
                <w:sz w:val="17"/>
                <w:szCs w:val="17"/>
              </w:rPr>
              <w:t xml:space="preserve">Media</w:t>
            </w:r>
          </w:p>
        </w:tc>
        <w:tc>
          <w:tcPr>
            <w:tcW w:type="dxa" w:w="4000"/>
            <w:tcBorders>
              <w:top w:val="single" w:color="D9DFE6" w:sz="4"/>
              <w:left w:val="single" w:color="D9DFE6" w:sz="4"/>
              <w:bottom w:val="single" w:color="D9DFE6" w:sz="4"/>
              <w:right w:val="single" w:color="D9DFE6" w:sz="4"/>
            </w:tcBorders>
            <w:shd w:fill="1B3C65" w:color="auto" w:val="clear"/>
            <w:tcMar>
              <w:top w:type="dxa" w:w="50"/>
              <w:left w:type="dxa" w:w="90"/>
              <w:bottom w:type="dxa" w:w="50"/>
              <w:right w:type="dxa" w:w="90"/>
            </w:tcMar>
          </w:tcPr>
          <w:p>
            <w:pPr>
              <w:spacing w:after="0" w:line="245"/>
            </w:pPr>
            <w:r>
              <w:rPr>
                <w:rFonts w:ascii="Arial" w:cs="Arial" w:eastAsia="Arial" w:hAnsi="Arial"/>
                <w:b/>
                <w:bCs/>
                <w:color w:val="FFFFFF"/>
                <w:sz w:val="17"/>
                <w:szCs w:val="17"/>
              </w:rPr>
              <w:t xml:space="preserve">Method (Destroy, NIST SP 800-88 Rev. 2, High categorization)</w:t>
            </w:r>
          </w:p>
        </w:tc>
        <w:tc>
          <w:tcPr>
            <w:tcW w:type="dxa" w:w="4140"/>
            <w:tcBorders>
              <w:top w:val="single" w:color="D9DFE6" w:sz="4"/>
              <w:left w:val="single" w:color="D9DFE6" w:sz="4"/>
              <w:bottom w:val="single" w:color="D9DFE6" w:sz="4"/>
              <w:right w:val="single" w:color="D9DFE6" w:sz="4"/>
            </w:tcBorders>
            <w:shd w:fill="1B3C65" w:color="auto" w:val="clear"/>
            <w:tcMar>
              <w:top w:type="dxa" w:w="50"/>
              <w:left w:type="dxa" w:w="90"/>
              <w:bottom w:type="dxa" w:w="50"/>
              <w:right w:type="dxa" w:w="90"/>
            </w:tcMar>
          </w:tcPr>
          <w:p>
            <w:pPr>
              <w:spacing w:after="0" w:line="245"/>
            </w:pPr>
            <w:r>
              <w:rPr>
                <w:rFonts w:ascii="Arial" w:cs="Arial" w:eastAsia="Arial" w:hAnsi="Arial"/>
                <w:b/>
                <w:bCs/>
                <w:color w:val="FFFFFF"/>
                <w:sz w:val="17"/>
                <w:szCs w:val="17"/>
              </w:rPr>
              <w:t xml:space="preserve">Result and record</w:t>
            </w:r>
          </w:p>
        </w:tc>
      </w:tr>
      <w:tr>
        <w:tc>
          <w:tcPr>
            <w:tcW w:type="dxa" w:w="2300"/>
            <w:tcBorders>
              <w:top w:val="single" w:color="D9DFE6" w:sz="4"/>
              <w:left w:val="single" w:color="D9DFE6" w:sz="4"/>
              <w:bottom w:val="single" w:color="D9DFE6" w:sz="4"/>
              <w:right w:val="single" w:color="D9DFE6" w:sz="4"/>
            </w:tcBorders>
            <w:tcMar>
              <w:top w:type="dxa" w:w="50"/>
              <w:left w:type="dxa" w:w="90"/>
              <w:bottom w:type="dxa" w:w="50"/>
              <w:right w:type="dxa" w:w="90"/>
            </w:tcMar>
          </w:tcPr>
          <w:p>
            <w:pPr>
              <w:spacing w:after="0" w:line="245"/>
            </w:pPr>
            <w:r>
              <w:rPr>
                <w:rFonts w:ascii="Arial" w:cs="Arial" w:eastAsia="Arial" w:hAnsi="Arial"/>
                <w:b/>
                <w:bCs/>
                <w:color w:val="0E2140"/>
                <w:sz w:val="17"/>
                <w:szCs w:val="17"/>
              </w:rPr>
              <w:t xml:space="preserve">Magnetic hard drives, tapes</w:t>
            </w:r>
          </w:p>
        </w:tc>
        <w:tc>
          <w:tcPr>
            <w:tcW w:type="dxa" w:w="4000"/>
            <w:tcBorders>
              <w:top w:val="single" w:color="D9DFE6" w:sz="4"/>
              <w:left w:val="single" w:color="D9DFE6" w:sz="4"/>
              <w:bottom w:val="single" w:color="D9DFE6" w:sz="4"/>
              <w:right w:val="single" w:color="D9DFE6" w:sz="4"/>
            </w:tcBorders>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Degaussed on an NSA/CSS EPL-listed degausser (Purge, Rev. 2 section 3.1.2), then shredded (1.5-inch cutting head) or deformed (Destroy, section 3.1.3). Degaussing alone and shredding alone are not used for High-impact media.</w:t>
            </w:r>
          </w:p>
        </w:tc>
        <w:tc>
          <w:tcPr>
            <w:tcW w:type="dxa" w:w="4140"/>
            <w:tcBorders>
              <w:top w:val="single" w:color="D9DFE6" w:sz="4"/>
              <w:left w:val="single" w:color="D9DFE6" w:sz="4"/>
              <w:bottom w:val="single" w:color="D9DFE6" w:sz="4"/>
              <w:right w:val="single" w:color="D9DFE6" w:sz="4"/>
            </w:tcBorders>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Platters erased and cut; DIN 66399 H-3 after erasure. Serial, method, equipment, two technicians, date on the log.</w:t>
            </w:r>
          </w:p>
        </w:tc>
      </w:tr>
      <w:tr>
        <w:tc>
          <w:tcPr>
            <w:tcW w:type="dxa" w:w="2300"/>
            <w:tcBorders>
              <w:top w:val="single" w:color="D9DFE6" w:sz="4"/>
              <w:left w:val="single" w:color="D9DFE6" w:sz="4"/>
              <w:bottom w:val="single" w:color="D9DFE6" w:sz="4"/>
              <w:right w:val="single" w:color="D9DFE6" w:sz="4"/>
            </w:tcBorders>
            <w:shd w:fill="EEF1F4" w:color="auto" w:val="clear"/>
            <w:tcMar>
              <w:top w:type="dxa" w:w="50"/>
              <w:left w:type="dxa" w:w="90"/>
              <w:bottom w:type="dxa" w:w="50"/>
              <w:right w:type="dxa" w:w="90"/>
            </w:tcMar>
          </w:tcPr>
          <w:p>
            <w:pPr>
              <w:spacing w:after="0" w:line="245"/>
            </w:pPr>
            <w:r>
              <w:rPr>
                <w:rFonts w:ascii="Arial" w:cs="Arial" w:eastAsia="Arial" w:hAnsi="Arial"/>
                <w:b/>
                <w:bCs/>
                <w:color w:val="0E2140"/>
                <w:sz w:val="17"/>
                <w:szCs w:val="17"/>
              </w:rPr>
              <w:t xml:space="preserve">Solid-state: SSD, M.2, NVMe, flash, phones, tablets, boards</w:t>
            </w:r>
          </w:p>
        </w:tc>
        <w:tc>
          <w:tcPr>
            <w:tcW w:type="dxa" w:w="4000"/>
            <w:tcBorders>
              <w:top w:val="single" w:color="D9DFE6" w:sz="4"/>
              <w:left w:val="single" w:color="D9DFE6" w:sz="4"/>
              <w:bottom w:val="single" w:color="D9DFE6" w:sz="4"/>
              <w:right w:val="single" w:color="D9DFE6" w:sz="4"/>
            </w:tcBorders>
            <w:shd w:fill="EEF1F4" w:color="auto" w:val="clear"/>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Disintegrated on an NSA/CSS EPL-listed solid-state destruction device to particles under 2 mm. Logical purge is not used for media leaving Client’s control.</w:t>
            </w:r>
          </w:p>
        </w:tc>
        <w:tc>
          <w:tcPr>
            <w:tcW w:type="dxa" w:w="4140"/>
            <w:tcBorders>
              <w:top w:val="single" w:color="D9DFE6" w:sz="4"/>
              <w:left w:val="single" w:color="D9DFE6" w:sz="4"/>
              <w:bottom w:val="single" w:color="D9DFE6" w:sz="4"/>
              <w:right w:val="single" w:color="D9DFE6" w:sz="4"/>
            </w:tcBorders>
            <w:shd w:fill="EEF1F4" w:color="auto" w:val="clear"/>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Particles under about 3 mm²; DIN 66399 E-5. Particle size recorded.</w:t>
            </w:r>
          </w:p>
        </w:tc>
      </w:tr>
      <w:tr>
        <w:tc>
          <w:tcPr>
            <w:tcW w:type="dxa" w:w="2300"/>
            <w:tcBorders>
              <w:top w:val="single" w:color="D9DFE6" w:sz="4"/>
              <w:left w:val="single" w:color="D9DFE6" w:sz="4"/>
              <w:bottom w:val="single" w:color="D9DFE6" w:sz="4"/>
              <w:right w:val="single" w:color="D9DFE6" w:sz="4"/>
            </w:tcBorders>
            <w:tcMar>
              <w:top w:type="dxa" w:w="50"/>
              <w:left w:type="dxa" w:w="90"/>
              <w:bottom w:type="dxa" w:w="50"/>
              <w:right w:type="dxa" w:w="90"/>
            </w:tcMar>
          </w:tcPr>
          <w:p>
            <w:pPr>
              <w:spacing w:after="0" w:line="245"/>
            </w:pPr>
            <w:r>
              <w:rPr>
                <w:rFonts w:ascii="Arial" w:cs="Arial" w:eastAsia="Arial" w:hAnsi="Arial"/>
                <w:b/>
                <w:bCs/>
                <w:color w:val="0E2140"/>
                <w:sz w:val="17"/>
                <w:szCs w:val="17"/>
              </w:rPr>
              <w:t xml:space="preserve">Hybrid and HAMR drives</w:t>
            </w:r>
          </w:p>
        </w:tc>
        <w:tc>
          <w:tcPr>
            <w:tcW w:type="dxa" w:w="4000"/>
            <w:tcBorders>
              <w:top w:val="single" w:color="D9DFE6" w:sz="4"/>
              <w:left w:val="single" w:color="D9DFE6" w:sz="4"/>
              <w:bottom w:val="single" w:color="D9DFE6" w:sz="4"/>
              <w:right w:val="single" w:color="D9DFE6" w:sz="4"/>
            </w:tcBorders>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Hybrid: circuit board separated and disintegrated, platters degaussed and shredded. HAMR: platters cannot be degaussed, so the drive is physically destroyed by shredding and, where quoted, disintegration. Physical destruction is a Destroy technique under NIST SP 800-88 Rev. 2 section 3.1.3 and satisfies the standard.</w:t>
            </w:r>
          </w:p>
        </w:tc>
        <w:tc>
          <w:tcPr>
            <w:tcW w:type="dxa" w:w="4140"/>
            <w:tcBorders>
              <w:top w:val="single" w:color="D9DFE6" w:sz="4"/>
              <w:left w:val="single" w:color="D9DFE6" w:sz="4"/>
              <w:bottom w:val="single" w:color="D9DFE6" w:sz="4"/>
              <w:right w:val="single" w:color="D9DFE6" w:sz="4"/>
            </w:tcBorders>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Drive type noted on the log; HAMR drives identified by the laser label and logged as physically destroyed without degaussing.</w:t>
            </w:r>
          </w:p>
        </w:tc>
      </w:tr>
      <w:tr>
        <w:tc>
          <w:tcPr>
            <w:tcW w:type="dxa" w:w="2300"/>
            <w:tcBorders>
              <w:top w:val="single" w:color="D9DFE6" w:sz="4"/>
              <w:left w:val="single" w:color="D9DFE6" w:sz="4"/>
              <w:bottom w:val="single" w:color="D9DFE6" w:sz="4"/>
              <w:right w:val="single" w:color="D9DFE6" w:sz="4"/>
            </w:tcBorders>
            <w:shd w:fill="EEF1F4" w:color="auto" w:val="clear"/>
            <w:tcMar>
              <w:top w:type="dxa" w:w="50"/>
              <w:left w:type="dxa" w:w="90"/>
              <w:bottom w:type="dxa" w:w="50"/>
              <w:right w:type="dxa" w:w="90"/>
            </w:tcMar>
          </w:tcPr>
          <w:p>
            <w:pPr>
              <w:spacing w:after="0" w:line="245"/>
            </w:pPr>
            <w:r>
              <w:rPr>
                <w:rFonts w:ascii="Arial" w:cs="Arial" w:eastAsia="Arial" w:hAnsi="Arial"/>
                <w:b/>
                <w:bCs/>
                <w:color w:val="0E2140"/>
                <w:sz w:val="17"/>
                <w:szCs w:val="17"/>
              </w:rPr>
              <w:t xml:space="preserve">Devices presented without media</w:t>
            </w:r>
          </w:p>
        </w:tc>
        <w:tc>
          <w:tcPr>
            <w:tcW w:type="dxa" w:w="4000"/>
            <w:tcBorders>
              <w:top w:val="single" w:color="D9DFE6" w:sz="4"/>
              <w:left w:val="single" w:color="D9DFE6" w:sz="4"/>
              <w:bottom w:val="single" w:color="D9DFE6" w:sz="4"/>
              <w:right w:val="single" w:color="D9DFE6" w:sz="4"/>
            </w:tcBorders>
            <w:shd w:fill="EEF1F4" w:color="auto" w:val="clear"/>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Opened and inspected.</w:t>
            </w:r>
          </w:p>
        </w:tc>
        <w:tc>
          <w:tcPr>
            <w:tcW w:type="dxa" w:w="4140"/>
            <w:tcBorders>
              <w:top w:val="single" w:color="D9DFE6" w:sz="4"/>
              <w:left w:val="single" w:color="D9DFE6" w:sz="4"/>
              <w:bottom w:val="single" w:color="D9DFE6" w:sz="4"/>
              <w:right w:val="single" w:color="D9DFE6" w:sz="4"/>
            </w:tcBorders>
            <w:shd w:fill="EEF1F4" w:color="auto" w:val="clear"/>
            <w:tcMar>
              <w:top w:type="dxa" w:w="50"/>
              <w:left w:type="dxa" w:w="90"/>
              <w:bottom w:type="dxa" w:w="50"/>
              <w:right w:type="dxa" w:w="90"/>
            </w:tcMar>
          </w:tcPr>
          <w:p>
            <w:pPr>
              <w:spacing w:after="0" w:line="245"/>
            </w:pPr>
            <w:r>
              <w:rPr>
                <w:rFonts w:ascii="Arial" w:cs="Arial" w:eastAsia="Arial" w:hAnsi="Arial"/>
                <w:b w:val="false"/>
                <w:bCs w:val="false"/>
                <w:color w:val="0E2140"/>
                <w:sz w:val="17"/>
                <w:szCs w:val="17"/>
              </w:rPr>
              <w:t xml:space="preserve">Logged as “none found” with two technician names, so Client can show which devices were checked.</w:t>
            </w:r>
          </w:p>
        </w:tc>
      </w:tr>
    </w:tbl>
    <w:p>
      <w:pPr>
        <w:spacing w:after="60" w:line="258"/>
      </w:pPr>
      <w:r>
        <w:rPr>
          <w:rFonts w:ascii="Arial" w:cs="Arial" w:eastAsia="Arial" w:hAnsi="Arial"/>
          <w:b/>
          <w:bCs/>
          <w:color w:val="0E2140"/>
          <w:sz w:val="18"/>
          <w:szCs w:val="18"/>
        </w:rPr>
        <w:t xml:space="preserve">Verification and validation. </w:t>
      </w:r>
      <w:r>
        <w:rPr>
          <w:rFonts w:ascii="Arial" w:cs="Arial" w:eastAsia="Arial" w:hAnsi="Arial"/>
          <w:color w:val="0E2140"/>
          <w:sz w:val="18"/>
          <w:szCs w:val="18"/>
        </w:rPr>
        <w:t xml:space="preserve">Every item is verified (output inspected, equipment identified) and the job is validated against this section by the lead technician; a rejected outcome is re-processed by a stronger method. Client’s witness may inspect the output and the equipment at any time. Equipment is operated and maintained per the manufacturer; the NSA/CSS Evaluated Products List entries for our degausser and disintegrator are published by model number on our equipment page.</w:t>
      </w:r>
    </w:p>
    <w:p>
      <w:pPr>
        <w:spacing w:after="60" w:line="258"/>
      </w:pPr>
      <w:r>
        <w:rPr>
          <w:rFonts w:ascii="Arial" w:cs="Arial" w:eastAsia="Arial" w:hAnsi="Arial"/>
          <w:b/>
          <w:bCs/>
          <w:color w:val="0E2140"/>
          <w:sz w:val="18"/>
          <w:szCs w:val="18"/>
        </w:rPr>
        <w:t xml:space="preserve">Documentation. </w:t>
      </w:r>
      <w:r>
        <w:rPr>
          <w:rFonts w:ascii="Arial" w:cs="Arial" w:eastAsia="Arial" w:hAnsi="Arial"/>
          <w:color w:val="0E2140"/>
          <w:sz w:val="18"/>
          <w:szCs w:val="18"/>
        </w:rPr>
        <w:t xml:space="preserve">The Certificate of Destruction is a digitally signed letter stating the standard achieved, the date, and the job reference, with a media log carrying, for every item, the fields Rev. 2 section 4.6 calls for: manufacturer, model, serial number, asset tag, media type, source, category, method, technique, equipment, date, two technician identifiers, seal and container numbers, Client’s approving witness, and the downstream recycler. We retain certificates and logs for six years and will produce them to Client, its auditors, examiners, or counsel within one business day of request during that period.</w:t>
      </w:r>
    </w:p>
    <w:p>
      <w:pPr>
        <w:spacing w:after="90" w:line="258"/>
      </w:pPr>
      <w:r>
        <w:rPr>
          <w:rFonts w:ascii="Arial" w:cs="Arial" w:eastAsia="Arial" w:hAnsi="Arial"/>
          <w:b/>
          <w:bCs/>
          <w:color w:val="0E2140"/>
          <w:sz w:val="18"/>
          <w:szCs w:val="18"/>
        </w:rPr>
        <w:t xml:space="preserve">Other standards. </w:t>
      </w:r>
      <w:r>
        <w:rPr>
          <w:rFonts w:ascii="Arial" w:cs="Arial" w:eastAsia="Arial" w:hAnsi="Arial"/>
          <w:color w:val="0E2140"/>
          <w:sz w:val="18"/>
          <w:szCs w:val="18"/>
        </w:rPr>
        <w:t xml:space="preserve">The same process satisfies, and the certificate can be written to, HIPAA 45 CFR 164.310(d), the GLBA Safeguards Rule and FACTA Disposal Rule, the CJIS Security Policy, IRS Publication 1075, PCI DSS 9.4, NIST SP 800-53 MP-6, NIST SP 800-171 requirement 3.8.3, DCSA’s CUI destruction guidance, NERC CIP-011, and DIN 66399 at the levels stated above. Tell us at quote time which your record must cite.</w:t>
      </w:r>
    </w:p>
    <w:p>
      <w:pPr>
        <w:spacing w:after="60" w:before="180"/>
      </w:pPr>
      <w:r>
        <w:rPr>
          <w:rFonts w:ascii="Arial" w:cs="Arial" w:eastAsia="Arial" w:hAnsi="Arial"/>
          <w:b/>
          <w:bCs/>
          <w:color w:val="1B3C65"/>
          <w:sz w:val="21"/>
          <w:szCs w:val="21"/>
        </w:rPr>
        <w:t xml:space="preserve">3. Custody</w:t>
      </w:r>
    </w:p>
    <w:p>
      <w:pPr>
        <w:spacing w:after="90" w:line="258"/>
      </w:pPr>
      <w:r>
        <w:rPr>
          <w:rFonts w:ascii="Arial" w:cs="Arial" w:eastAsia="Arial" w:hAnsi="Arial"/>
          <w:b/>
          <w:bCs/>
          <w:color w:val="0E2140"/>
          <w:sz w:val="18"/>
          <w:szCs w:val="18"/>
        </w:rPr>
        <w:t xml:space="preserve">On-site. </w:t>
      </w:r>
      <w:r>
        <w:rPr>
          <w:rFonts w:ascii="Arial" w:cs="Arial" w:eastAsia="Arial" w:hAnsi="Arial"/>
          <w:color w:val="0E2140"/>
          <w:sz w:val="18"/>
          <w:szCs w:val="18"/>
        </w:rPr>
        <w:t xml:space="preserve">Media remains in Client’s custody and on Client’s premises until it enters the machine. Client’s representative escorts media to the truck and witnesses destruction; two Mansfield technicians handle every item. Our technicians do not read, image, copy, or retain the contents of any media, and no personal electronics are used near Client’s media.</w:t>
      </w:r>
    </w:p>
    <w:p>
      <w:pPr>
        <w:spacing w:after="90" w:line="258"/>
      </w:pPr>
      <w:r>
        <w:rPr>
          <w:rFonts w:ascii="Arial" w:cs="Arial" w:eastAsia="Arial" w:hAnsi="Arial"/>
          <w:b/>
          <w:bCs/>
          <w:color w:val="0E2140"/>
          <w:sz w:val="18"/>
          <w:szCs w:val="18"/>
        </w:rPr>
        <w:t xml:space="preserve">Mail-in. </w:t>
      </w:r>
      <w:r>
        <w:rPr>
          <w:rFonts w:ascii="Arial" w:cs="Arial" w:eastAsia="Arial" w:hAnsi="Arial"/>
          <w:color w:val="0E2140"/>
          <w:sz w:val="18"/>
          <w:szCs w:val="18"/>
        </w:rPr>
        <w:t xml:space="preserve">Custody begins when the carrier delivers the package to us. We photograph the sealed package on arrival, record any tamper-evident seal numbers before opening, and destroy the contents within five business days. Media in our custody is kept in a locked, access-controlled area until destroyed.</w:t>
      </w:r>
    </w:p>
    <w:p>
      <w:pPr>
        <w:spacing w:after="60" w:before="180"/>
      </w:pPr>
      <w:r>
        <w:rPr>
          <w:rFonts w:ascii="Arial" w:cs="Arial" w:eastAsia="Arial" w:hAnsi="Arial"/>
          <w:b/>
          <w:bCs/>
          <w:color w:val="1B3C65"/>
          <w:sz w:val="21"/>
          <w:szCs w:val="21"/>
        </w:rPr>
        <w:t xml:space="preserve">4. Client responsibilities</w:t>
      </w:r>
    </w:p>
    <w:p>
      <w:pPr>
        <w:pStyle w:val="ListParagraph"/>
        <w:numPr>
          <w:ilvl w:val="0"/>
          <w:numId w:val="2"/>
        </w:numPr>
        <w:spacing w:after="40" w:line="250"/>
      </w:pPr>
      <w:r>
        <w:rPr>
          <w:rFonts w:ascii="Arial" w:cs="Arial" w:eastAsia="Arial" w:hAnsi="Arial"/>
          <w:color w:val="0E2140"/>
          <w:sz w:val="18"/>
          <w:szCs w:val="18"/>
        </w:rPr>
        <w:t xml:space="preserve">Provide a count and description of media at quote time; the quote is based on it, and material not on the quote is billed at the rate sheet.</w:t>
      </w:r>
    </w:p>
    <w:p>
      <w:pPr>
        <w:pStyle w:val="ListParagraph"/>
        <w:numPr>
          <w:ilvl w:val="0"/>
          <w:numId w:val="2"/>
        </w:numPr>
        <w:spacing w:after="40" w:line="250"/>
      </w:pPr>
      <w:r>
        <w:rPr>
          <w:rFonts w:ascii="Arial" w:cs="Arial" w:eastAsia="Arial" w:hAnsi="Arial"/>
          <w:color w:val="0E2140"/>
          <w:sz w:val="18"/>
          <w:szCs w:val="18"/>
        </w:rPr>
        <w:t xml:space="preserve">Confirm that all data Client needs has been backed up or migrated before the visit. Destruction is irreversible, and we cannot recover data from destroyed media.</w:t>
      </w:r>
    </w:p>
    <w:p>
      <w:pPr>
        <w:pStyle w:val="ListParagraph"/>
        <w:numPr>
          <w:ilvl w:val="0"/>
          <w:numId w:val="2"/>
        </w:numPr>
        <w:spacing w:after="40" w:line="250"/>
      </w:pPr>
      <w:r>
        <w:rPr>
          <w:rFonts w:ascii="Arial" w:cs="Arial" w:eastAsia="Arial" w:hAnsi="Arial"/>
          <w:color w:val="0E2140"/>
          <w:sz w:val="18"/>
          <w:szCs w:val="18"/>
        </w:rPr>
        <w:t xml:space="preserve">Provide a witness with authority to approve the media log, and safe access for the truck and crew (parking, power if requested, badging).</w:t>
      </w:r>
    </w:p>
    <w:p>
      <w:pPr>
        <w:pStyle w:val="ListParagraph"/>
        <w:numPr>
          <w:ilvl w:val="0"/>
          <w:numId w:val="2"/>
        </w:numPr>
        <w:spacing w:after="40" w:line="250"/>
      </w:pPr>
      <w:r>
        <w:rPr>
          <w:rFonts w:ascii="Arial" w:cs="Arial" w:eastAsia="Arial" w:hAnsi="Arial"/>
          <w:color w:val="0E2140"/>
          <w:sz w:val="18"/>
          <w:szCs w:val="18"/>
        </w:rPr>
        <w:t xml:space="preserve">Tell us which devices contain lithium batteries. Client does not need to remove them: our technicians remove batteries from phones, tablets, and laptops before the storage is destroyed, and batteries are recycled separately, never destroyed. Batteries that are swollen, leaking, or damaged, and any other hazardous material, must be disclosed before the visit; we may decline those items.</w:t>
      </w:r>
    </w:p>
    <w:p>
      <w:pPr>
        <w:pStyle w:val="ListParagraph"/>
        <w:numPr>
          <w:ilvl w:val="0"/>
          <w:numId w:val="2"/>
        </w:numPr>
        <w:spacing w:after="40" w:line="250"/>
      </w:pPr>
      <w:r>
        <w:rPr>
          <w:rFonts w:ascii="Arial" w:cs="Arial" w:eastAsia="Arial" w:hAnsi="Arial"/>
          <w:color w:val="0E2140"/>
          <w:sz w:val="18"/>
          <w:szCs w:val="18"/>
        </w:rPr>
        <w:t xml:space="preserve">Tell us of any legal hold, litigation, or investigation touching the media before destruction begins. We destroy nothing under a hold once notified, and Client’s named hold authority may stop the work at any time before an item enters the machine.</w:t>
      </w:r>
    </w:p>
    <w:p>
      <w:pPr>
        <w:pStyle w:val="ListParagraph"/>
        <w:numPr>
          <w:ilvl w:val="0"/>
          <w:numId w:val="2"/>
        </w:numPr>
        <w:spacing w:after="40" w:line="250"/>
      </w:pPr>
      <w:r>
        <w:rPr>
          <w:rFonts w:ascii="Arial" w:cs="Arial" w:eastAsia="Arial" w:hAnsi="Arial"/>
          <w:color w:val="0E2140"/>
          <w:sz w:val="18"/>
          <w:szCs w:val="18"/>
        </w:rPr>
        <w:t xml:space="preserve">For mail-in orders, pack media as instructed, ship with tracking, and confirm at checkout that the shipment contains no swollen, leaking, or loose batteries and no hazardous material. Devices with intact internal batteries are accepted; we remove the battery before destruction.</w:t>
      </w:r>
    </w:p>
    <w:p>
      <w:pPr>
        <w:spacing w:after="60" w:before="180"/>
      </w:pPr>
      <w:r>
        <w:rPr>
          <w:rFonts w:ascii="Arial" w:cs="Arial" w:eastAsia="Arial" w:hAnsi="Arial"/>
          <w:b/>
          <w:bCs/>
          <w:color w:val="1B3C65"/>
          <w:sz w:val="21"/>
          <w:szCs w:val="21"/>
        </w:rPr>
        <w:t xml:space="preserve">5. Prices and payment</w:t>
      </w:r>
    </w:p>
    <w:p>
      <w:pPr>
        <w:pStyle w:val="ListParagraph"/>
        <w:numPr>
          <w:ilvl w:val="0"/>
          <w:numId w:val="2"/>
        </w:numPr>
        <w:spacing w:after="40" w:line="250"/>
      </w:pPr>
      <w:r>
        <w:rPr>
          <w:rFonts w:ascii="Arial" w:cs="Arial" w:eastAsia="Arial" w:hAnsi="Arial"/>
          <w:b/>
          <w:bCs/>
          <w:color w:val="0E2140"/>
          <w:sz w:val="18"/>
          <w:szCs w:val="18"/>
        </w:rPr>
        <w:t xml:space="preserve">Quotes. </w:t>
      </w:r>
      <w:r>
        <w:rPr>
          <w:rFonts w:ascii="Arial" w:cs="Arial" w:eastAsia="Arial" w:hAnsi="Arial"/>
          <w:color w:val="0E2140"/>
          <w:sz w:val="18"/>
          <w:szCs w:val="18"/>
        </w:rPr>
        <w:t xml:space="preserve">Written quotes are firm for 30 days and are the price for the work described. Changes in count, media type, or standard on the day are billed at the current rate sheet.</w:t>
      </w:r>
    </w:p>
    <w:p>
      <w:pPr>
        <w:pStyle w:val="ListParagraph"/>
        <w:numPr>
          <w:ilvl w:val="0"/>
          <w:numId w:val="2"/>
        </w:numPr>
        <w:spacing w:after="40" w:line="250"/>
      </w:pPr>
      <w:r>
        <w:rPr>
          <w:rFonts w:ascii="Arial" w:cs="Arial" w:eastAsia="Arial" w:hAnsi="Arial"/>
          <w:b/>
          <w:bCs/>
          <w:color w:val="0E2140"/>
          <w:sz w:val="18"/>
          <w:szCs w:val="18"/>
        </w:rPr>
        <w:t xml:space="preserve">Terms. </w:t>
      </w:r>
      <w:r>
        <w:rPr>
          <w:rFonts w:ascii="Arial" w:cs="Arial" w:eastAsia="Arial" w:hAnsi="Arial"/>
          <w:color w:val="0E2140"/>
          <w:sz w:val="18"/>
          <w:szCs w:val="18"/>
        </w:rPr>
        <w:t xml:space="preserve">Invoices are due net 30 days from the invoice date. We accept purchase orders, ACH, check, and credit or purchase cards. Mail-in orders are paid at checkout or, for organizations that choose it, by invoice on the same terms.</w:t>
      </w:r>
    </w:p>
    <w:p>
      <w:pPr>
        <w:pStyle w:val="ListParagraph"/>
        <w:numPr>
          <w:ilvl w:val="0"/>
          <w:numId w:val="2"/>
        </w:numPr>
        <w:spacing w:after="40" w:line="250"/>
      </w:pPr>
      <w:r>
        <w:rPr>
          <w:rFonts w:ascii="Arial" w:cs="Arial" w:eastAsia="Arial" w:hAnsi="Arial"/>
          <w:b/>
          <w:bCs/>
          <w:color w:val="0E2140"/>
          <w:sz w:val="18"/>
          <w:szCs w:val="18"/>
        </w:rPr>
        <w:t xml:space="preserve">Late payment. </w:t>
      </w:r>
      <w:r>
        <w:rPr>
          <w:rFonts w:ascii="Arial" w:cs="Arial" w:eastAsia="Arial" w:hAnsi="Arial"/>
          <w:color w:val="0E2140"/>
          <w:sz w:val="18"/>
          <w:szCs w:val="18"/>
        </w:rPr>
        <w:t xml:space="preserve">Balances more than 30 days past due accrue interest at 1.5 percent per month, or the maximum lawful rate if lower, and we may hold certificates for unpaid jobs; certificates for paid jobs are never withheld.</w:t>
      </w:r>
    </w:p>
    <w:p>
      <w:pPr>
        <w:pStyle w:val="ListParagraph"/>
        <w:numPr>
          <w:ilvl w:val="0"/>
          <w:numId w:val="2"/>
        </w:numPr>
        <w:spacing w:after="40" w:line="250"/>
      </w:pPr>
      <w:r>
        <w:rPr>
          <w:rFonts w:ascii="Arial" w:cs="Arial" w:eastAsia="Arial" w:hAnsi="Arial"/>
          <w:b/>
          <w:bCs/>
          <w:color w:val="0E2140"/>
          <w:sz w:val="18"/>
          <w:szCs w:val="18"/>
        </w:rPr>
        <w:t xml:space="preserve">Scheduling. </w:t>
      </w:r>
      <w:r>
        <w:rPr>
          <w:rFonts w:ascii="Arial" w:cs="Arial" w:eastAsia="Arial" w:hAnsi="Arial"/>
          <w:color w:val="0E2140"/>
          <w:sz w:val="18"/>
          <w:szCs w:val="18"/>
        </w:rPr>
        <w:t xml:space="preserve">On-site visits cancelled or rescheduled by Client with less than 48 hours’ notice are billed the trip charge on the quote. Weather and road conditions that make travel unsafe are rescheduled without charge.</w:t>
      </w:r>
    </w:p>
    <w:p>
      <w:pPr>
        <w:pStyle w:val="ListParagraph"/>
        <w:numPr>
          <w:ilvl w:val="0"/>
          <w:numId w:val="2"/>
        </w:numPr>
        <w:spacing w:after="40" w:line="250"/>
      </w:pPr>
      <w:r>
        <w:rPr>
          <w:rFonts w:ascii="Arial" w:cs="Arial" w:eastAsia="Arial" w:hAnsi="Arial"/>
          <w:b/>
          <w:bCs/>
          <w:color w:val="0E2140"/>
          <w:sz w:val="18"/>
          <w:szCs w:val="18"/>
        </w:rPr>
        <w:t xml:space="preserve">Taxes. </w:t>
      </w:r>
      <w:r>
        <w:rPr>
          <w:rFonts w:ascii="Arial" w:cs="Arial" w:eastAsia="Arial" w:hAnsi="Arial"/>
          <w:color w:val="0E2140"/>
          <w:sz w:val="18"/>
          <w:szCs w:val="18"/>
        </w:rPr>
        <w:t xml:space="preserve">Prices exclude applicable taxes; tax-exempt organizations provide their certificate.</w:t>
      </w:r>
    </w:p>
    <w:p>
      <w:pPr>
        <w:spacing w:after="60" w:before="180"/>
      </w:pPr>
      <w:r>
        <w:rPr>
          <w:rFonts w:ascii="Arial" w:cs="Arial" w:eastAsia="Arial" w:hAnsi="Arial"/>
          <w:b/>
          <w:bCs/>
          <w:color w:val="1B3C65"/>
          <w:sz w:val="21"/>
          <w:szCs w:val="21"/>
        </w:rPr>
        <w:t xml:space="preserve">6. Limitations of the service</w:t>
      </w:r>
    </w:p>
    <w:p>
      <w:pPr>
        <w:pStyle w:val="ListParagraph"/>
        <w:numPr>
          <w:ilvl w:val="0"/>
          <w:numId w:val="2"/>
        </w:numPr>
        <w:spacing w:after="40" w:line="250"/>
      </w:pPr>
      <w:r>
        <w:rPr>
          <w:rFonts w:ascii="Arial" w:cs="Arial" w:eastAsia="Arial" w:hAnsi="Arial"/>
          <w:b/>
          <w:bCs/>
          <w:color w:val="0E2140"/>
          <w:sz w:val="18"/>
          <w:szCs w:val="18"/>
        </w:rPr>
        <w:t xml:space="preserve">What is destroyed. </w:t>
      </w:r>
      <w:r>
        <w:rPr>
          <w:rFonts w:ascii="Arial" w:cs="Arial" w:eastAsia="Arial" w:hAnsi="Arial"/>
          <w:color w:val="0E2140"/>
          <w:sz w:val="18"/>
          <w:szCs w:val="18"/>
        </w:rPr>
        <w:t xml:space="preserve">We destroy the media Client presents and log what we find. We are not responsible for media Client did not present, for data on devices not opened at Client’s direction, or for copies of the data that exist elsewhere.</w:t>
      </w:r>
    </w:p>
    <w:p>
      <w:pPr>
        <w:pStyle w:val="ListParagraph"/>
        <w:numPr>
          <w:ilvl w:val="0"/>
          <w:numId w:val="2"/>
        </w:numPr>
        <w:spacing w:after="40" w:line="250"/>
      </w:pPr>
      <w:r>
        <w:rPr>
          <w:rFonts w:ascii="Arial" w:cs="Arial" w:eastAsia="Arial" w:hAnsi="Arial"/>
          <w:b/>
          <w:bCs/>
          <w:color w:val="0E2140"/>
          <w:sz w:val="18"/>
          <w:szCs w:val="18"/>
        </w:rPr>
        <w:t xml:space="preserve">Devices found empty. </w:t>
      </w:r>
      <w:r>
        <w:rPr>
          <w:rFonts w:ascii="Arial" w:cs="Arial" w:eastAsia="Arial" w:hAnsi="Arial"/>
          <w:color w:val="0E2140"/>
          <w:sz w:val="18"/>
          <w:szCs w:val="18"/>
        </w:rPr>
        <w:t xml:space="preserve">A device that contains no media is logged as “none found.” We cannot certify the destruction of a drive that was removed before we arrived.</w:t>
      </w:r>
    </w:p>
    <w:p>
      <w:pPr>
        <w:pStyle w:val="ListParagraph"/>
        <w:numPr>
          <w:ilvl w:val="0"/>
          <w:numId w:val="2"/>
        </w:numPr>
        <w:spacing w:after="40" w:line="250"/>
      </w:pPr>
      <w:r>
        <w:rPr>
          <w:rFonts w:ascii="Arial" w:cs="Arial" w:eastAsia="Arial" w:hAnsi="Arial"/>
          <w:b/>
          <w:bCs/>
          <w:color w:val="0E2140"/>
          <w:sz w:val="18"/>
          <w:szCs w:val="18"/>
        </w:rPr>
        <w:t xml:space="preserve">Standards we do not certify to. </w:t>
      </w:r>
      <w:r>
        <w:rPr>
          <w:rFonts w:ascii="Arial" w:cs="Arial" w:eastAsia="Arial" w:hAnsi="Arial"/>
          <w:color w:val="0E2140"/>
          <w:sz w:val="18"/>
          <w:szCs w:val="18"/>
        </w:rPr>
        <w:t xml:space="preserve">We do not certify DIN 66399 levels above those in section 2 unless quoted, do not perform logical (software) sanitization for media leaving Client’s control, and do not incinerate.</w:t>
      </w:r>
    </w:p>
    <w:p>
      <w:pPr>
        <w:pStyle w:val="ListParagraph"/>
        <w:numPr>
          <w:ilvl w:val="0"/>
          <w:numId w:val="2"/>
        </w:numPr>
        <w:spacing w:after="40" w:line="250"/>
      </w:pPr>
      <w:r>
        <w:rPr>
          <w:rFonts w:ascii="Arial" w:cs="Arial" w:eastAsia="Arial" w:hAnsi="Arial"/>
          <w:b/>
          <w:bCs/>
          <w:color w:val="0E2140"/>
          <w:sz w:val="18"/>
          <w:szCs w:val="18"/>
        </w:rPr>
        <w:t xml:space="preserve">Batteries. </w:t>
      </w:r>
      <w:r>
        <w:rPr>
          <w:rFonts w:ascii="Arial" w:cs="Arial" w:eastAsia="Arial" w:hAnsi="Arial"/>
          <w:color w:val="0E2140"/>
          <w:sz w:val="18"/>
          <w:szCs w:val="18"/>
        </w:rPr>
        <w:t xml:space="preserve">We do not destroy batteries. Lithium batteries are removed from devices and sent to a battery recycler; their recycling is documented by that recycler, not by our certificate.</w:t>
      </w:r>
    </w:p>
    <w:p>
      <w:pPr>
        <w:pStyle w:val="ListParagraph"/>
        <w:numPr>
          <w:ilvl w:val="0"/>
          <w:numId w:val="2"/>
        </w:numPr>
        <w:spacing w:after="40" w:line="250"/>
      </w:pPr>
      <w:r>
        <w:rPr>
          <w:rFonts w:ascii="Arial" w:cs="Arial" w:eastAsia="Arial" w:hAnsi="Arial"/>
          <w:b/>
          <w:bCs/>
          <w:color w:val="0E2140"/>
          <w:sz w:val="18"/>
          <w:szCs w:val="18"/>
        </w:rPr>
        <w:t xml:space="preserve">Paper. </w:t>
      </w:r>
      <w:r>
        <w:rPr>
          <w:rFonts w:ascii="Arial" w:cs="Arial" w:eastAsia="Arial" w:hAnsi="Arial"/>
          <w:color w:val="0E2140"/>
          <w:sz w:val="18"/>
          <w:szCs w:val="18"/>
        </w:rPr>
        <w:t xml:space="preserve">We do not destroy paper. On request we refer Client to a paper destruction partner, whose certificate is its own.</w:t>
      </w:r>
    </w:p>
    <w:p>
      <w:pPr>
        <w:pStyle w:val="ListParagraph"/>
        <w:numPr>
          <w:ilvl w:val="0"/>
          <w:numId w:val="2"/>
        </w:numPr>
        <w:spacing w:after="40" w:line="250"/>
      </w:pPr>
      <w:r>
        <w:rPr>
          <w:rFonts w:ascii="Arial" w:cs="Arial" w:eastAsia="Arial" w:hAnsi="Arial"/>
          <w:b/>
          <w:bCs/>
          <w:color w:val="0E2140"/>
          <w:sz w:val="18"/>
          <w:szCs w:val="18"/>
        </w:rPr>
        <w:t xml:space="preserve">Downstream recycling. </w:t>
      </w:r>
      <w:r>
        <w:rPr>
          <w:rFonts w:ascii="Arial" w:cs="Arial" w:eastAsia="Arial" w:hAnsi="Arial"/>
          <w:color w:val="0E2140"/>
          <w:sz w:val="18"/>
          <w:szCs w:val="18"/>
        </w:rPr>
        <w:t xml:space="preserve">Destroyed material is sent to R2-certified recyclers. Our certificate covers destruction; the recycler’s documentation covers recycling, and we pass it through on request.</w:t>
      </w:r>
    </w:p>
    <w:p>
      <w:pPr>
        <w:pStyle w:val="ListParagraph"/>
        <w:numPr>
          <w:ilvl w:val="0"/>
          <w:numId w:val="2"/>
        </w:numPr>
        <w:spacing w:after="40" w:line="250"/>
      </w:pPr>
      <w:r>
        <w:rPr>
          <w:rFonts w:ascii="Arial" w:cs="Arial" w:eastAsia="Arial" w:hAnsi="Arial"/>
          <w:b/>
          <w:bCs/>
          <w:color w:val="0E2140"/>
          <w:sz w:val="18"/>
          <w:szCs w:val="18"/>
        </w:rPr>
        <w:t xml:space="preserve">Consultation. </w:t>
      </w:r>
      <w:r>
        <w:rPr>
          <w:rFonts w:ascii="Arial" w:cs="Arial" w:eastAsia="Arial" w:hAnsi="Arial"/>
          <w:color w:val="0E2140"/>
          <w:sz w:val="18"/>
          <w:szCs w:val="18"/>
        </w:rPr>
        <w:t xml:space="preserve">Policy and program work is advice based on Client’s description of its environment. It is not legal advice, and it does not guarantee the outcome of any audit or assessment.</w:t>
      </w:r>
    </w:p>
    <w:p>
      <w:pPr>
        <w:spacing w:after="60" w:before="180"/>
      </w:pPr>
      <w:r>
        <w:rPr>
          <w:rFonts w:ascii="Arial" w:cs="Arial" w:eastAsia="Arial" w:hAnsi="Arial"/>
          <w:b/>
          <w:bCs/>
          <w:color w:val="1B3C65"/>
          <w:sz w:val="21"/>
          <w:szCs w:val="21"/>
        </w:rPr>
        <w:t xml:space="preserve">7. Confidentiality and data</w:t>
      </w:r>
    </w:p>
    <w:p>
      <w:pPr>
        <w:spacing w:after="90" w:line="258"/>
      </w:pPr>
      <w:r>
        <w:rPr>
          <w:rFonts w:ascii="Arial" w:cs="Arial" w:eastAsia="Arial" w:hAnsi="Arial"/>
          <w:color w:val="0E2140"/>
          <w:sz w:val="18"/>
          <w:szCs w:val="18"/>
        </w:rPr>
        <w:t xml:space="preserve">Each party keeps the other’s non-public information confidential and uses it only to perform this Agreement. Mansfield does not access the contents of Client’s media and does not maintain a designated record set. Where Client’s media contains protected health information, our Business Associate Agreement (or Client’s) is signed before work begins; where a law-enforcement Client requires the CJIS Security Addendum, we sign it and our technicians submit to the agency’s fingerprint-based checks; where personal data of EU or UK residents is involved, we sign data processing terms. Client’s serial numbers and asset records are held only in the media log and certificate and are disclosed to no one but Client without Client’s written direction, a legal requirement, or a court order.</w:t>
      </w:r>
    </w:p>
    <w:p>
      <w:pPr>
        <w:spacing w:after="60" w:before="180"/>
      </w:pPr>
      <w:r>
        <w:rPr>
          <w:rFonts w:ascii="Arial" w:cs="Arial" w:eastAsia="Arial" w:hAnsi="Arial"/>
          <w:b/>
          <w:bCs/>
          <w:color w:val="1B3C65"/>
          <w:sz w:val="21"/>
          <w:szCs w:val="21"/>
        </w:rPr>
        <w:t xml:space="preserve">8. Personnel, insurance, and compliance</w:t>
      </w:r>
    </w:p>
    <w:p>
      <w:pPr>
        <w:spacing w:after="90" w:line="258"/>
      </w:pPr>
      <w:r>
        <w:rPr>
          <w:rFonts w:ascii="Arial" w:cs="Arial" w:eastAsia="Arial" w:hAnsi="Arial"/>
          <w:color w:val="0E2140"/>
          <w:sz w:val="18"/>
          <w:szCs w:val="18"/>
        </w:rPr>
        <w:t xml:space="preserve">All Mansfield technicians are U.S. citizens who have passed a criminal background check; many hold individual security clearances through Guard or Reserve service, which are personal, not company, clearances. Mansfield is a certified service-disabled veteran-owned small business (UEI SKVZDQ3WXKM3, CAGE 9P0F2), has completed the CMMC Level 1 self-assessment and affirmed it in SPRS, and is an equal opportunity employer. We carry commercial general liability of $1,000,000 per occurrence and $2,000,000 aggregate, pollution liability of $1,000,000, technology professional liability of $1,000,000, cyber and privacy liability of $1,000,000, and commercial automobile liability of $1,000,000 with hired and non-owned coverage. A certificate of insurance naming Client, with additional-insured endorsements where Client’s contract requires them, is provided before the job on request.</w:t>
      </w:r>
    </w:p>
    <w:p>
      <w:pPr>
        <w:spacing w:after="60" w:before="180"/>
      </w:pPr>
      <w:r>
        <w:rPr>
          <w:rFonts w:ascii="Arial" w:cs="Arial" w:eastAsia="Arial" w:hAnsi="Arial"/>
          <w:b/>
          <w:bCs/>
          <w:color w:val="1B3C65"/>
          <w:sz w:val="21"/>
          <w:szCs w:val="21"/>
        </w:rPr>
        <w:t xml:space="preserve">9. Liability</w:t>
      </w:r>
    </w:p>
    <w:p>
      <w:pPr>
        <w:spacing w:after="90" w:line="258"/>
      </w:pPr>
      <w:r>
        <w:rPr>
          <w:rFonts w:ascii="Arial" w:cs="Arial" w:eastAsia="Arial" w:hAnsi="Arial"/>
          <w:color w:val="0E2140"/>
          <w:sz w:val="18"/>
          <w:szCs w:val="18"/>
        </w:rPr>
        <w:t xml:space="preserve">Our total liability for any claim arising from a job is limited to the fees paid for that job, except for our breach of section 7 or our gross negligence or willful misconduct, where it is limited to the greater of those fees or the applicable limit of the insurance in section 8. Neither party is liable to the other for indirect, consequential, special, or punitive damages, or for lost profits, revenue, or data, except for breaches of section 7. Client is responsible for the accuracy of the count and description it provides and for confirming that data has been backed up; Mansfield is responsible for destroying the media presented to the standard in section 2 and for the accuracy of the certificate and log.</w:t>
      </w:r>
    </w:p>
    <w:p>
      <w:pPr>
        <w:spacing w:after="60" w:before="180"/>
      </w:pPr>
      <w:r>
        <w:rPr>
          <w:rFonts w:ascii="Arial" w:cs="Arial" w:eastAsia="Arial" w:hAnsi="Arial"/>
          <w:b/>
          <w:bCs/>
          <w:color w:val="1B3C65"/>
          <w:sz w:val="21"/>
          <w:szCs w:val="21"/>
        </w:rPr>
        <w:t xml:space="preserve">10. Term, changes, and governing law</w:t>
      </w:r>
    </w:p>
    <w:p>
      <w:pPr>
        <w:spacing w:after="90" w:line="258"/>
      </w:pPr>
      <w:r>
        <w:rPr>
          <w:rFonts w:ascii="Arial" w:cs="Arial" w:eastAsia="Arial" w:hAnsi="Arial"/>
          <w:color w:val="0E2140"/>
          <w:sz w:val="18"/>
          <w:szCs w:val="18"/>
        </w:rPr>
        <w:t xml:space="preserve">This Agreement applies from the first quote and continues until either party ends it on 30 days’ written notice; jobs already scheduled are completed on these terms. We may update these terms for future work by publishing a new version; the version in effect on the quote date governs that job. Ohio law governs, and the courts of Richland County, Ohio have exclusive jurisdiction, though either party may seek an injunction anywhere to protect confidential information. If a signed master agreement between the parties conflicts with this document, the signed agreement controls.</w:t>
      </w:r>
    </w:p>
    <w:p>
      <w:pPr>
        <w:spacing w:after="60" w:before="160"/>
      </w:pPr>
      <w:r>
        <w:rPr>
          <w:rFonts w:ascii="Arial" w:cs="Arial" w:eastAsia="Arial" w:hAnsi="Arial"/>
          <w:b/>
          <w:bCs/>
          <w:color w:val="1B3C65"/>
          <w:sz w:val="21"/>
          <w:szCs w:val="21"/>
        </w:rPr>
        <w:t xml:space="preserve">Accepted</w:t>
      </w:r>
    </w:p>
    <w:p>
      <w:pPr>
        <w:spacing w:after="90" w:line="258"/>
      </w:pPr>
      <w:r>
        <w:rPr>
          <w:rFonts w:ascii="Arial" w:cs="Arial" w:eastAsia="Arial" w:hAnsi="Arial"/>
          <w:color w:val="0E2140"/>
          <w:sz w:val="18"/>
          <w:szCs w:val="18"/>
        </w:rPr>
        <w:t xml:space="preserve">CLIENT: ______________________________________   By: ____________________________   Title: __________________   Date: ______________</w:t>
      </w:r>
    </w:p>
    <w:p>
      <w:pPr>
        <w:spacing w:after="90" w:line="258"/>
      </w:pPr>
      <w:r>
        <w:rPr>
          <w:rFonts w:ascii="Arial" w:cs="Arial" w:eastAsia="Arial" w:hAnsi="Arial"/>
          <w:color w:val="0E2140"/>
          <w:sz w:val="18"/>
          <w:szCs w:val="18"/>
        </w:rPr>
        <w:t xml:space="preserve">MANSFIELD TECHNOLOGIES LLC   By: ____________________________   Title: __________________   Date: ______________</w:t>
      </w:r>
    </w:p>
    <w:p>
      <w:pPr>
        <w:spacing w:after="90" w:line="258"/>
      </w:pPr>
      <w:r>
        <w:rPr>
          <w:rFonts w:ascii="Arial" w:cs="Arial" w:eastAsia="Arial" w:hAnsi="Arial"/>
          <w:color w:val="5F6F82"/>
          <w:sz w:val="16"/>
          <w:szCs w:val="16"/>
        </w:rPr>
        <w:t xml:space="preserve">Attachments as applicable: rate sheet or quote; Business Associate Agreement; CJIS Security Addendum; data processing terms; certificate of insurance; W-9.</w:t>
      </w:r>
    </w:p>
    <w:sectPr>
      <w:footerReference w:type="default" r:id="rId7"/>
      <w:pgSz w:w="12240" w:h="15840" w:orient="portrait"/>
      <w:pgMar w:top="880" w:right="900" w:bottom="7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FE6" w:sz="4" w:space="4"/>
      </w:pBdr>
      <w:spacing w:before="60"/>
    </w:pPr>
    <w:r>
      <w:rPr>
        <w:rFonts w:ascii="Arial" w:cs="Arial" w:eastAsia="Arial" w:hAnsi="Arial"/>
        <w:color w:val="5F6F82"/>
        <w:sz w:val="14"/>
        <w:szCs w:val="14"/>
      </w:rPr>
      <w:t xml:space="preserve">Mansfield Technologies LLC, Mansfield, Ohio. 330-704-1641. contact@mansfieldtech.us. www.mansfieldtech.us. Service Agreement v1.0. Page </w:t>
    </w:r>
    <w:r>
      <w:rPr>
        <w:rFonts w:ascii="Arial" w:cs="Arial" w:eastAsia="Arial" w:hAnsi="Arial"/>
        <w:color w:val="5F6F82"/>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E214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2026-09-22T22:47:01.354Z</dcterms:created>
  <dcterms:modified xsi:type="dcterms:W3CDTF">2026-09-22T22:47:01.362Z</dcterms:modified>
</cp:coreProperties>
</file>

<file path=docProps/custom.xml><?xml version="1.0" encoding="utf-8"?>
<Properties xmlns="http://schemas.openxmlformats.org/officeDocument/2006/custom-properties" xmlns:vt="http://schemas.openxmlformats.org/officeDocument/2006/docPropsVTypes"/>
</file>